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7" w:rsidRDefault="00D03577" w:rsidP="00D03577">
      <w:pPr>
        <w:spacing w:after="160" w:line="252" w:lineRule="auto"/>
        <w:jc w:val="both"/>
        <w:rPr>
          <w:rFonts w:ascii="Arial" w:hAnsi="Arial" w:cs="Arial"/>
          <w:b/>
          <w:bCs/>
          <w:color w:val="002060"/>
        </w:rPr>
      </w:pPr>
      <w:bookmarkStart w:id="0" w:name="_GoBack"/>
      <w:bookmarkEnd w:id="0"/>
    </w:p>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1"/>
        <w:gridCol w:w="4766"/>
        <w:gridCol w:w="2208"/>
      </w:tblGrid>
      <w:tr w:rsidR="00D03577" w:rsidTr="00DE12FE">
        <w:trPr>
          <w:trHeight w:val="1753"/>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03577" w:rsidRDefault="00D03577" w:rsidP="00DE12FE">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14:anchorId="49A222E4" wp14:editId="6C217152">
                  <wp:extent cx="971550" cy="800100"/>
                  <wp:effectExtent l="0" t="0" r="0" b="0"/>
                  <wp:docPr id="1" name="Imagen 1" descr="cid:image001.jpg@01D45CB0.CDF7B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5CB0.CDF7B6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D03577" w:rsidRDefault="00D03577" w:rsidP="00DE12FE">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D03577" w:rsidRDefault="00D03577" w:rsidP="00DE12FE">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577" w:rsidRDefault="00D03577" w:rsidP="00DE12FE">
            <w:pPr>
              <w:spacing w:line="240" w:lineRule="auto"/>
              <w:jc w:val="both"/>
              <w:rPr>
                <w:rFonts w:ascii="Arial" w:hAnsi="Arial" w:cs="Arial"/>
                <w:b/>
                <w:bCs/>
                <w:color w:val="002060"/>
                <w:lang w:val="es-CO" w:eastAsia="es-ES"/>
              </w:rPr>
            </w:pPr>
          </w:p>
          <w:p w:rsidR="00D03577" w:rsidRDefault="00D03577" w:rsidP="00DE12FE">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hideMark/>
          </w:tcPr>
          <w:p w:rsidR="00D03577" w:rsidRDefault="00D03577" w:rsidP="00DE12FE">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5A055797" wp14:editId="19FE1EFD">
                  <wp:simplePos x="0" y="0"/>
                  <wp:positionH relativeFrom="margin">
                    <wp:posOffset>190500</wp:posOffset>
                  </wp:positionH>
                  <wp:positionV relativeFrom="margin">
                    <wp:posOffset>0</wp:posOffset>
                  </wp:positionV>
                  <wp:extent cx="1019175" cy="885825"/>
                  <wp:effectExtent l="0" t="0" r="9525" b="9525"/>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eastAsia="es-ES"/>
              </w:rPr>
              <w:t>ASOCIACION DE FUNCIONARIOS</w:t>
            </w:r>
          </w:p>
          <w:p w:rsidR="00D03577" w:rsidRDefault="00D03577" w:rsidP="00DE12FE">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D03577" w:rsidRDefault="00D03577" w:rsidP="00D03577">
      <w:pPr>
        <w:spacing w:after="0" w:line="240" w:lineRule="auto"/>
        <w:jc w:val="center"/>
        <w:rPr>
          <w:rFonts w:ascii="Arial" w:hAnsi="Arial" w:cs="Arial"/>
          <w:b/>
          <w:bCs/>
          <w:color w:val="002060"/>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Nº69</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05.10.18</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LUEGO DE UN INTENSO MES DE SEPTIEMBRE, UNA SEMANA DE BALANCES Y DE ESPERAS</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En este día especialmente simbólico, y a una semana de nuestros festejos, más expectantes y a la vez modestos que otros años, terminamos igualmente con satisfacción por los anuncios de la autoridad, tanto del Sr. Ministro del Trabajo como del Sr. Director Nacional, en orden a que, coronando seis meses de revisión y trabajo conjunto con las Asociaciones, hacían suyos y del Gobierno el proyecto de modernización y de nueva ley de plantas de la DT, con un renovado y mejorado texto que se encuentra en estudio final por parte del Ministerio. </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Y en esta semana hemos estado a la espera de concretar una reunión con las autoridades ministeriales para formalizar estos anuncios y cerrar el trabajo de la Mesa Ministerial revalidando los compromisos de hacer prontamente lo necesario para retomar cuanto antes la tramitación del proyecto en el Congreso.</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Entretanto, en el ámbito interno del Servicio, en la Mesa de RRHH, presidida por el Director Nacional e integrada por la Sra. Subdirectora y nuestras organizaciones, también valoramos los avances sustantivos en la definición de una intensa agenda para los próximos meses, alineada estrechamente con el proyecto de ley, la cual contempla, entre otros temas, las próximas convocatorias a concursos de jefaturas de oficinas y de coordinaciones regionales; la preparación anticipada de un concurso de reposición ante los nuevos egresos por el incentivo al retiro; el avance lento pero visible de los concursos de ADP; y, en especial, la definición aún pendiente pero en estudio de un nuevo concurso de promoción, que solucione los visibles problemas y conflictos del último convocado a fines del año pasado y que, en conocimiento de que el órgano contralor finalmente ha decidido, luego de evidentes dudas, validar, hemos decidido, en aras de alcanzar certezas y que no se siga afectando con este retraso a una inmensa mayoría de colegas inocentes de los errores cometidos, acatar este pronunciamiento -aun ante reclamos completamente serios y válidos de muchos de nuestros socios/as y colegas que se sintieron legítimamente afectados-, y mirar hacia el futuro, en espera del próximo concurso que logre sanear el clima de desconfianza que provocó el anterior.</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lastRenderedPageBreak/>
        <w:t>Esperamos en los próximos días informar más noticias de avance en estos dos ámbitos.</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D03577" w:rsidTr="00DE12FE">
        <w:trPr>
          <w:jc w:val="center"/>
        </w:trPr>
        <w:tc>
          <w:tcPr>
            <w:tcW w:w="4295" w:type="dxa"/>
            <w:tcMar>
              <w:top w:w="0" w:type="dxa"/>
              <w:left w:w="108" w:type="dxa"/>
              <w:bottom w:w="0" w:type="dxa"/>
              <w:right w:w="108" w:type="dxa"/>
            </w:tcMar>
          </w:tcPr>
          <w:p w:rsidR="00D03577" w:rsidRDefault="00D03577" w:rsidP="00DE12FE">
            <w:pPr>
              <w:spacing w:after="0" w:line="240" w:lineRule="auto"/>
              <w:jc w:val="center"/>
              <w:rPr>
                <w:rFonts w:ascii="Arial" w:hAnsi="Arial" w:cs="Arial"/>
                <w:b/>
                <w:bCs/>
                <w:color w:val="002060"/>
                <w:lang w:val="es-CO"/>
              </w:rPr>
            </w:pPr>
          </w:p>
          <w:p w:rsidR="00D03577" w:rsidRDefault="00D03577" w:rsidP="00DE12FE">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D03577" w:rsidRDefault="00D03577" w:rsidP="00DE12FE">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D03577" w:rsidRDefault="00D03577" w:rsidP="00DE12FE">
            <w:pPr>
              <w:spacing w:after="0" w:line="240" w:lineRule="auto"/>
              <w:jc w:val="center"/>
              <w:rPr>
                <w:rFonts w:ascii="Arial" w:hAnsi="Arial" w:cs="Arial"/>
                <w:b/>
                <w:bCs/>
                <w:color w:val="002060"/>
                <w:lang w:val="es-CO"/>
              </w:rPr>
            </w:pPr>
          </w:p>
          <w:p w:rsidR="00D03577" w:rsidRDefault="00D03577" w:rsidP="00DE12FE">
            <w:pPr>
              <w:spacing w:after="0" w:line="240" w:lineRule="auto"/>
              <w:jc w:val="center"/>
              <w:rPr>
                <w:rFonts w:ascii="Arial" w:hAnsi="Arial" w:cs="Arial"/>
                <w:color w:val="002060"/>
              </w:rPr>
            </w:pPr>
            <w:r>
              <w:rPr>
                <w:rFonts w:ascii="Arial" w:hAnsi="Arial" w:cs="Arial"/>
                <w:b/>
                <w:bCs/>
                <w:color w:val="002060"/>
                <w:lang w:val="es-CO"/>
              </w:rPr>
              <w:t>DIRECTORIO  NACIONAL</w:t>
            </w:r>
          </w:p>
          <w:p w:rsidR="00D03577" w:rsidRDefault="00D03577" w:rsidP="00DE12FE">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D03577" w:rsidRDefault="00D03577" w:rsidP="00D03577">
      <w:pPr>
        <w:spacing w:after="160" w:line="252" w:lineRule="auto"/>
        <w:jc w:val="both"/>
        <w:rPr>
          <w:rFonts w:ascii="Arial" w:hAnsi="Arial" w:cs="Arial"/>
          <w:b/>
          <w:bCs/>
          <w:color w:val="002060"/>
        </w:rPr>
      </w:pPr>
    </w:p>
    <w:p w:rsidR="00D03577" w:rsidRDefault="00D03577" w:rsidP="00D03577"/>
    <w:p w:rsidR="00A54501" w:rsidRDefault="00A54501"/>
    <w:sectPr w:rsidR="00A54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7"/>
    <w:rsid w:val="00290161"/>
    <w:rsid w:val="0029320C"/>
    <w:rsid w:val="007421B1"/>
    <w:rsid w:val="008C2477"/>
    <w:rsid w:val="00A15886"/>
    <w:rsid w:val="00A54501"/>
    <w:rsid w:val="00BC28F7"/>
    <w:rsid w:val="00CF39DC"/>
    <w:rsid w:val="00D03577"/>
    <w:rsid w:val="00EC32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512">
      <w:bodyDiv w:val="1"/>
      <w:marLeft w:val="0"/>
      <w:marRight w:val="0"/>
      <w:marTop w:val="0"/>
      <w:marBottom w:val="0"/>
      <w:divBdr>
        <w:top w:val="none" w:sz="0" w:space="0" w:color="auto"/>
        <w:left w:val="none" w:sz="0" w:space="0" w:color="auto"/>
        <w:bottom w:val="none" w:sz="0" w:space="0" w:color="auto"/>
        <w:right w:val="none" w:sz="0" w:space="0" w:color="auto"/>
      </w:divBdr>
    </w:div>
    <w:div w:id="1199778478">
      <w:bodyDiv w:val="1"/>
      <w:marLeft w:val="0"/>
      <w:marRight w:val="0"/>
      <w:marTop w:val="0"/>
      <w:marBottom w:val="0"/>
      <w:divBdr>
        <w:top w:val="none" w:sz="0" w:space="0" w:color="auto"/>
        <w:left w:val="none" w:sz="0" w:space="0" w:color="auto"/>
        <w:bottom w:val="none" w:sz="0" w:space="0" w:color="auto"/>
        <w:right w:val="none" w:sz="0" w:space="0" w:color="auto"/>
      </w:divBdr>
    </w:div>
    <w:div w:id="1491561237">
      <w:bodyDiv w:val="1"/>
      <w:marLeft w:val="0"/>
      <w:marRight w:val="0"/>
      <w:marTop w:val="0"/>
      <w:marBottom w:val="0"/>
      <w:divBdr>
        <w:top w:val="none" w:sz="0" w:space="0" w:color="auto"/>
        <w:left w:val="none" w:sz="0" w:space="0" w:color="auto"/>
        <w:bottom w:val="none" w:sz="0" w:space="0" w:color="auto"/>
        <w:right w:val="none" w:sz="0" w:space="0" w:color="auto"/>
      </w:divBdr>
    </w:div>
    <w:div w:id="153191161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759865780">
      <w:bodyDiv w:val="1"/>
      <w:marLeft w:val="0"/>
      <w:marRight w:val="0"/>
      <w:marTop w:val="0"/>
      <w:marBottom w:val="0"/>
      <w:divBdr>
        <w:top w:val="none" w:sz="0" w:space="0" w:color="auto"/>
        <w:left w:val="none" w:sz="0" w:space="0" w:color="auto"/>
        <w:bottom w:val="none" w:sz="0" w:space="0" w:color="auto"/>
        <w:right w:val="none" w:sz="0" w:space="0" w:color="auto"/>
      </w:divBdr>
    </w:div>
    <w:div w:id="1814711520">
      <w:bodyDiv w:val="1"/>
      <w:marLeft w:val="0"/>
      <w:marRight w:val="0"/>
      <w:marTop w:val="0"/>
      <w:marBottom w:val="0"/>
      <w:divBdr>
        <w:top w:val="none" w:sz="0" w:space="0" w:color="auto"/>
        <w:left w:val="none" w:sz="0" w:space="0" w:color="auto"/>
        <w:bottom w:val="none" w:sz="0" w:space="0" w:color="auto"/>
        <w:right w:val="none" w:sz="0" w:space="0" w:color="auto"/>
      </w:divBdr>
    </w:div>
    <w:div w:id="2064328647">
      <w:bodyDiv w:val="1"/>
      <w:marLeft w:val="0"/>
      <w:marRight w:val="0"/>
      <w:marTop w:val="0"/>
      <w:marBottom w:val="0"/>
      <w:divBdr>
        <w:top w:val="none" w:sz="0" w:space="0" w:color="auto"/>
        <w:left w:val="none" w:sz="0" w:space="0" w:color="auto"/>
        <w:bottom w:val="none" w:sz="0" w:space="0" w:color="auto"/>
        <w:right w:val="none" w:sz="0" w:space="0" w:color="auto"/>
      </w:divBdr>
    </w:div>
    <w:div w:id="2072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45CB0.CDF7B6F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Navarrete Villar</dc:creator>
  <cp:lastModifiedBy>Gabriel</cp:lastModifiedBy>
  <cp:revision>2</cp:revision>
  <dcterms:created xsi:type="dcterms:W3CDTF">2018-10-16T19:49:00Z</dcterms:created>
  <dcterms:modified xsi:type="dcterms:W3CDTF">2018-10-16T19:49:00Z</dcterms:modified>
</cp:coreProperties>
</file>